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923" w:rsidRDefault="00DF5793">
      <w:pPr>
        <w:spacing w:after="0"/>
        <w:ind w:left="67" w:right="0" w:firstLine="0"/>
        <w:jc w:val="center"/>
      </w:pPr>
      <w:r>
        <w:rPr>
          <w:noProof/>
        </w:rPr>
        <w:drawing>
          <wp:inline distT="0" distB="0" distL="0" distR="0">
            <wp:extent cx="631190" cy="68580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119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01923" w:rsidRDefault="00DF5793">
      <w:pPr>
        <w:spacing w:after="0"/>
        <w:ind w:left="68" w:right="0" w:firstLine="0"/>
        <w:jc w:val="center"/>
      </w:pPr>
      <w:r>
        <w:rPr>
          <w:b/>
          <w:color w:val="000080"/>
        </w:rPr>
        <w:t xml:space="preserve"> </w:t>
      </w:r>
    </w:p>
    <w:p w:rsidR="00301923" w:rsidRDefault="00DF5793">
      <w:pPr>
        <w:spacing w:after="31"/>
        <w:ind w:left="602" w:right="0" w:firstLine="0"/>
        <w:jc w:val="left"/>
      </w:pPr>
      <w:r>
        <w:rPr>
          <w:sz w:val="24"/>
        </w:rPr>
        <w:t xml:space="preserve">МИНИСТЕРСТВО ОБРАЗОВАНИЯ И НАУКИ РОССИЙСКОЙ ФЕДЕРАЦИИ </w:t>
      </w:r>
    </w:p>
    <w:p w:rsidR="00301923" w:rsidRDefault="00DF5793">
      <w:pPr>
        <w:spacing w:after="26"/>
        <w:ind w:right="6"/>
        <w:jc w:val="center"/>
      </w:pPr>
      <w:r>
        <w:rPr>
          <w:b/>
          <w:sz w:val="24"/>
        </w:rPr>
        <w:t xml:space="preserve">ФЕДЕРАЛЬНОЕ ГОСУДАРСТВЕННОЕ БЮДЖЕТНОЕ </w:t>
      </w:r>
    </w:p>
    <w:p w:rsidR="00301923" w:rsidRDefault="00DF5793">
      <w:pPr>
        <w:spacing w:after="26"/>
        <w:ind w:right="5"/>
        <w:jc w:val="center"/>
      </w:pPr>
      <w:r>
        <w:rPr>
          <w:b/>
          <w:sz w:val="24"/>
        </w:rPr>
        <w:t xml:space="preserve">ОБРАЗОВАТЕЛЬНОЕ УЧРЕЖДЕНИЕ ВЫСШЕГО ОБРАЗОВАНИЯ </w:t>
      </w:r>
    </w:p>
    <w:p w:rsidR="00301923" w:rsidRDefault="00DF5793">
      <w:pPr>
        <w:spacing w:after="23"/>
        <w:ind w:left="636" w:right="0" w:firstLine="0"/>
        <w:jc w:val="left"/>
      </w:pPr>
      <w:r>
        <w:rPr>
          <w:b/>
          <w:sz w:val="24"/>
        </w:rPr>
        <w:t xml:space="preserve">«ДОНСКОЙ ГОСУДАРСТВЕННЫЙ ТЕХНИЧЕСКИЙ УНИВЕРСИТЕТ» </w:t>
      </w:r>
    </w:p>
    <w:p w:rsidR="00301923" w:rsidRDefault="00DF5793">
      <w:pPr>
        <w:spacing w:after="26"/>
        <w:ind w:right="4"/>
        <w:jc w:val="center"/>
      </w:pPr>
      <w:r>
        <w:rPr>
          <w:b/>
          <w:sz w:val="24"/>
        </w:rPr>
        <w:t xml:space="preserve">(ДГТУ) </w:t>
      </w:r>
    </w:p>
    <w:p w:rsidR="00301923" w:rsidRDefault="00DF5793">
      <w:pPr>
        <w:spacing w:after="30"/>
        <w:ind w:left="68" w:right="0" w:firstLine="0"/>
        <w:jc w:val="center"/>
      </w:pPr>
      <w:r>
        <w:rPr>
          <w:b/>
        </w:rPr>
        <w:t xml:space="preserve"> </w:t>
      </w:r>
    </w:p>
    <w:p w:rsidR="00301923" w:rsidRDefault="00DF5793">
      <w:pPr>
        <w:spacing w:after="0"/>
        <w:ind w:left="355" w:right="0"/>
        <w:jc w:val="left"/>
      </w:pPr>
      <w:r>
        <w:rPr>
          <w:b/>
        </w:rPr>
        <w:t>Факультет «Энергетика и нефтегазопромышленность</w:t>
      </w:r>
      <w:r>
        <w:rPr>
          <w:b/>
        </w:rPr>
        <w:t xml:space="preserve">» </w:t>
      </w:r>
    </w:p>
    <w:p w:rsidR="00301923" w:rsidRDefault="00DF5793">
      <w:pPr>
        <w:spacing w:after="30"/>
        <w:ind w:left="360" w:right="0" w:firstLine="0"/>
        <w:jc w:val="left"/>
      </w:pPr>
      <w:r>
        <w:rPr>
          <w:b/>
        </w:rPr>
        <w:t xml:space="preserve"> </w:t>
      </w:r>
    </w:p>
    <w:p w:rsidR="00301923" w:rsidRDefault="00DF5793">
      <w:pPr>
        <w:spacing w:after="0"/>
        <w:ind w:left="355" w:right="0"/>
        <w:jc w:val="left"/>
      </w:pPr>
      <w:r>
        <w:rPr>
          <w:b/>
        </w:rPr>
        <w:t xml:space="preserve">Кафедра «Машины и оборудование нефтегазового комплекса» </w:t>
      </w:r>
    </w:p>
    <w:p w:rsidR="00301923" w:rsidRDefault="00DF5793">
      <w:pPr>
        <w:spacing w:after="0"/>
        <w:ind w:left="68" w:right="0" w:firstLine="0"/>
        <w:jc w:val="center"/>
      </w:pPr>
      <w:r>
        <w:rPr>
          <w:b/>
        </w:rPr>
        <w:t xml:space="preserve"> </w:t>
      </w:r>
    </w:p>
    <w:p w:rsidR="00301923" w:rsidRDefault="00DF5793">
      <w:pPr>
        <w:spacing w:after="0"/>
        <w:ind w:left="68" w:right="0" w:firstLine="0"/>
        <w:jc w:val="center"/>
      </w:pPr>
      <w:r>
        <w:rPr>
          <w:b/>
        </w:rPr>
        <w:t xml:space="preserve"> </w:t>
      </w:r>
    </w:p>
    <w:p w:rsidR="00301923" w:rsidRDefault="00DF5793">
      <w:pPr>
        <w:spacing w:after="0"/>
        <w:ind w:left="68" w:right="0" w:firstLine="0"/>
        <w:jc w:val="center"/>
      </w:pPr>
      <w:r>
        <w:rPr>
          <w:b/>
        </w:rPr>
        <w:t xml:space="preserve"> </w:t>
      </w:r>
    </w:p>
    <w:p w:rsidR="00301923" w:rsidRDefault="00DF5793">
      <w:pPr>
        <w:spacing w:after="0"/>
        <w:ind w:left="68" w:right="0" w:firstLine="0"/>
        <w:jc w:val="center"/>
      </w:pPr>
      <w:r>
        <w:rPr>
          <w:b/>
        </w:rPr>
        <w:t xml:space="preserve"> </w:t>
      </w:r>
    </w:p>
    <w:p w:rsidR="00301923" w:rsidRDefault="00DF5793">
      <w:pPr>
        <w:spacing w:after="0"/>
        <w:ind w:left="68" w:right="0" w:firstLine="0"/>
        <w:jc w:val="center"/>
      </w:pPr>
      <w:r>
        <w:rPr>
          <w:b/>
        </w:rPr>
        <w:t xml:space="preserve"> </w:t>
      </w:r>
    </w:p>
    <w:p w:rsidR="00301923" w:rsidRDefault="00DF5793">
      <w:pPr>
        <w:spacing w:after="0"/>
        <w:ind w:left="68" w:right="0" w:firstLine="0"/>
        <w:jc w:val="center"/>
      </w:pPr>
      <w:r>
        <w:rPr>
          <w:b/>
        </w:rPr>
        <w:t xml:space="preserve"> </w:t>
      </w:r>
    </w:p>
    <w:p w:rsidR="00301923" w:rsidRDefault="00DF5793">
      <w:pPr>
        <w:spacing w:after="29"/>
        <w:ind w:left="68" w:right="0" w:firstLine="0"/>
        <w:jc w:val="center"/>
      </w:pPr>
      <w:r>
        <w:rPr>
          <w:b/>
        </w:rPr>
        <w:t xml:space="preserve"> </w:t>
      </w:r>
    </w:p>
    <w:p w:rsidR="00301923" w:rsidRDefault="00DF5793">
      <w:pPr>
        <w:pStyle w:val="1"/>
        <w:ind w:left="10" w:right="3"/>
      </w:pPr>
      <w:r>
        <w:t xml:space="preserve">МЕТОДИЧЕСКИЕ УКАЗАНИЯ  </w:t>
      </w:r>
    </w:p>
    <w:p w:rsidR="00301923" w:rsidRDefault="00DF5793">
      <w:pPr>
        <w:spacing w:after="31"/>
        <w:ind w:left="615" w:right="0"/>
        <w:jc w:val="left"/>
      </w:pPr>
      <w:r>
        <w:rPr>
          <w:b/>
        </w:rPr>
        <w:t xml:space="preserve">для выполнения контрольной работы заочной формы обучения  </w:t>
      </w:r>
    </w:p>
    <w:p w:rsidR="00301923" w:rsidRDefault="00DF5793">
      <w:pPr>
        <w:spacing w:after="0"/>
        <w:ind w:left="672" w:right="0"/>
        <w:jc w:val="left"/>
      </w:pPr>
      <w:r>
        <w:rPr>
          <w:b/>
        </w:rPr>
        <w:t xml:space="preserve">по дисциплине «Методология опытно-конструкторских работ» </w:t>
      </w:r>
    </w:p>
    <w:p w:rsidR="00301923" w:rsidRDefault="00DF5793">
      <w:pPr>
        <w:spacing w:after="0"/>
        <w:ind w:left="68" w:right="0" w:firstLine="0"/>
        <w:jc w:val="center"/>
      </w:pPr>
      <w:r>
        <w:t xml:space="preserve"> </w:t>
      </w:r>
    </w:p>
    <w:p w:rsidR="00301923" w:rsidRDefault="00DF5793">
      <w:pPr>
        <w:spacing w:after="0"/>
        <w:ind w:left="708" w:right="0" w:firstLine="0"/>
        <w:jc w:val="left"/>
      </w:pPr>
      <w:r>
        <w:t xml:space="preserve"> </w:t>
      </w:r>
    </w:p>
    <w:p w:rsidR="00301923" w:rsidRDefault="00DF5793">
      <w:pPr>
        <w:spacing w:after="0"/>
        <w:ind w:left="708" w:right="0" w:firstLine="0"/>
        <w:jc w:val="left"/>
      </w:pPr>
      <w:r>
        <w:rPr>
          <w:b/>
        </w:rPr>
        <w:t xml:space="preserve"> </w:t>
      </w:r>
    </w:p>
    <w:p w:rsidR="00301923" w:rsidRDefault="00DF5793">
      <w:pPr>
        <w:spacing w:after="0"/>
        <w:ind w:left="708" w:right="0" w:firstLine="0"/>
        <w:jc w:val="left"/>
      </w:pPr>
      <w:r>
        <w:rPr>
          <w:b/>
        </w:rPr>
        <w:t xml:space="preserve"> </w:t>
      </w:r>
    </w:p>
    <w:p w:rsidR="00301923" w:rsidRDefault="00DF5793">
      <w:pPr>
        <w:spacing w:after="0"/>
        <w:ind w:left="708" w:right="0" w:firstLine="0"/>
        <w:jc w:val="left"/>
      </w:pPr>
      <w:r>
        <w:rPr>
          <w:b/>
        </w:rPr>
        <w:t xml:space="preserve"> </w:t>
      </w:r>
    </w:p>
    <w:p w:rsidR="00301923" w:rsidRDefault="00DF5793">
      <w:pPr>
        <w:spacing w:after="0"/>
        <w:ind w:left="708" w:right="0" w:firstLine="0"/>
        <w:jc w:val="left"/>
      </w:pPr>
      <w:r>
        <w:t xml:space="preserve"> </w:t>
      </w:r>
    </w:p>
    <w:p w:rsidR="00301923" w:rsidRDefault="00DF5793">
      <w:pPr>
        <w:spacing w:after="0"/>
        <w:ind w:left="708" w:right="0" w:firstLine="0"/>
        <w:jc w:val="left"/>
      </w:pPr>
      <w:r>
        <w:t xml:space="preserve"> </w:t>
      </w:r>
    </w:p>
    <w:p w:rsidR="00301923" w:rsidRDefault="00DF5793">
      <w:pPr>
        <w:spacing w:after="0"/>
        <w:ind w:left="708" w:right="0" w:firstLine="0"/>
        <w:jc w:val="left"/>
      </w:pPr>
      <w:r>
        <w:t xml:space="preserve"> </w:t>
      </w:r>
    </w:p>
    <w:p w:rsidR="00301923" w:rsidRDefault="00DF5793">
      <w:pPr>
        <w:spacing w:after="0"/>
        <w:ind w:left="708" w:right="0" w:firstLine="0"/>
        <w:jc w:val="left"/>
      </w:pPr>
      <w:r>
        <w:t xml:space="preserve"> </w:t>
      </w:r>
    </w:p>
    <w:p w:rsidR="00301923" w:rsidRDefault="00DF5793">
      <w:pPr>
        <w:spacing w:after="0"/>
        <w:ind w:left="708" w:right="0" w:firstLine="0"/>
        <w:jc w:val="left"/>
      </w:pPr>
      <w:r>
        <w:t xml:space="preserve"> </w:t>
      </w:r>
    </w:p>
    <w:p w:rsidR="00301923" w:rsidRDefault="00DF5793">
      <w:pPr>
        <w:spacing w:after="0"/>
        <w:ind w:left="708" w:right="0" w:firstLine="0"/>
        <w:jc w:val="left"/>
      </w:pPr>
      <w:r>
        <w:t xml:space="preserve"> </w:t>
      </w:r>
    </w:p>
    <w:p w:rsidR="00301923" w:rsidRDefault="00DF5793">
      <w:pPr>
        <w:spacing w:after="0"/>
        <w:ind w:left="708" w:right="0" w:firstLine="0"/>
        <w:jc w:val="left"/>
      </w:pPr>
      <w:r>
        <w:t xml:space="preserve"> </w:t>
      </w:r>
    </w:p>
    <w:p w:rsidR="00301923" w:rsidRDefault="00DF5793">
      <w:pPr>
        <w:spacing w:after="0"/>
        <w:ind w:left="708" w:right="0" w:firstLine="0"/>
        <w:jc w:val="left"/>
      </w:pPr>
      <w:r>
        <w:t xml:space="preserve"> </w:t>
      </w:r>
      <w:r>
        <w:t xml:space="preserve"> </w:t>
      </w:r>
    </w:p>
    <w:p w:rsidR="00DF5793" w:rsidRDefault="00DF5793" w:rsidP="00DF5793">
      <w:pPr>
        <w:pStyle w:val="1"/>
        <w:ind w:left="10" w:right="4"/>
      </w:pPr>
      <w:r>
        <w:t>Ростов-на-Дону</w:t>
      </w:r>
    </w:p>
    <w:p w:rsidR="00DF5793" w:rsidRDefault="00DF5793" w:rsidP="00DF5793">
      <w:pPr>
        <w:pStyle w:val="1"/>
        <w:ind w:left="10" w:right="4"/>
      </w:pPr>
      <w:r>
        <w:t xml:space="preserve"> 202</w:t>
      </w:r>
      <w:r>
        <w:t>4</w:t>
      </w:r>
      <w:bookmarkStart w:id="0" w:name="_GoBack"/>
      <w:bookmarkEnd w:id="0"/>
      <w:r>
        <w:t xml:space="preserve"> </w:t>
      </w:r>
    </w:p>
    <w:p w:rsidR="00301923" w:rsidRDefault="00DF5793">
      <w:pPr>
        <w:spacing w:after="321"/>
        <w:ind w:left="48" w:right="0" w:firstLine="0"/>
        <w:jc w:val="center"/>
      </w:pPr>
      <w:r>
        <w:rPr>
          <w:rFonts w:ascii="Calibri" w:eastAsia="Calibri" w:hAnsi="Calibri" w:cs="Calibri"/>
          <w:b/>
          <w:sz w:val="22"/>
        </w:rPr>
        <w:t xml:space="preserve"> </w:t>
      </w:r>
    </w:p>
    <w:p w:rsidR="00301923" w:rsidRDefault="00DF5793">
      <w:pPr>
        <w:spacing w:after="52" w:line="365" w:lineRule="auto"/>
        <w:ind w:left="-15" w:right="0" w:firstLine="708"/>
      </w:pPr>
      <w:r>
        <w:lastRenderedPageBreak/>
        <w:t xml:space="preserve">Темой контрольной работы по дисциплине «Методология </w:t>
      </w:r>
      <w:proofErr w:type="spellStart"/>
      <w:r>
        <w:t>опытноконструкторских</w:t>
      </w:r>
      <w:proofErr w:type="spellEnd"/>
      <w:r>
        <w:t xml:space="preserve"> работ», для направления подготовки 15.04.02 «Технологические машины и оборудование», программа «Совершенствование элементов конструкций машин и оборудования нефт</w:t>
      </w:r>
      <w:r>
        <w:t xml:space="preserve">егазовых промыслов», является </w:t>
      </w:r>
      <w:proofErr w:type="gramStart"/>
      <w:r>
        <w:t>ознакомление  с</w:t>
      </w:r>
      <w:proofErr w:type="gramEnd"/>
      <w:r>
        <w:t xml:space="preserve"> аспектами организации и выполнения НИОКР, оценке ее экономической эффективности. </w:t>
      </w:r>
    </w:p>
    <w:p w:rsidR="00301923" w:rsidRDefault="00DF5793">
      <w:pPr>
        <w:spacing w:after="181"/>
        <w:ind w:left="718" w:right="0"/>
        <w:jc w:val="left"/>
      </w:pPr>
      <w:r>
        <w:rPr>
          <w:b/>
        </w:rPr>
        <w:t xml:space="preserve">Алгоритм выбора варианта контрольной работы следующий: </w:t>
      </w:r>
    </w:p>
    <w:p w:rsidR="00301923" w:rsidRDefault="00DF5793">
      <w:pPr>
        <w:spacing w:after="0" w:line="397" w:lineRule="auto"/>
        <w:ind w:left="-15" w:right="0" w:firstLine="708"/>
      </w:pPr>
      <w:r>
        <w:t>Контрольная работа состоит из введения, основной части, заключения. Номе</w:t>
      </w:r>
      <w:r>
        <w:t xml:space="preserve">р контрольной работы соответствуют порядковому номеру студента в списке группы. </w:t>
      </w:r>
    </w:p>
    <w:p w:rsidR="00301923" w:rsidRDefault="00DF5793">
      <w:pPr>
        <w:spacing w:after="185"/>
        <w:ind w:left="718" w:right="0"/>
      </w:pPr>
      <w:r>
        <w:t xml:space="preserve">Работа должна иметь следующие разделы: </w:t>
      </w:r>
    </w:p>
    <w:p w:rsidR="00301923" w:rsidRDefault="00DF5793">
      <w:pPr>
        <w:numPr>
          <w:ilvl w:val="0"/>
          <w:numId w:val="1"/>
        </w:numPr>
        <w:spacing w:after="0" w:line="395" w:lineRule="auto"/>
        <w:ind w:right="0" w:firstLine="708"/>
      </w:pPr>
      <w:r>
        <w:t xml:space="preserve">титульный лист оформленный, согласно общеуниверситетским требованиям; </w:t>
      </w:r>
    </w:p>
    <w:p w:rsidR="00301923" w:rsidRDefault="00DF5793">
      <w:pPr>
        <w:numPr>
          <w:ilvl w:val="0"/>
          <w:numId w:val="1"/>
        </w:numPr>
        <w:spacing w:after="177"/>
        <w:ind w:right="0" w:firstLine="708"/>
      </w:pPr>
      <w:r>
        <w:t xml:space="preserve">содержание; </w:t>
      </w:r>
    </w:p>
    <w:p w:rsidR="00301923" w:rsidRDefault="00DF5793">
      <w:pPr>
        <w:numPr>
          <w:ilvl w:val="0"/>
          <w:numId w:val="1"/>
        </w:numPr>
        <w:spacing w:after="181"/>
        <w:ind w:right="0" w:firstLine="708"/>
      </w:pPr>
      <w:r>
        <w:t xml:space="preserve">введение; </w:t>
      </w:r>
    </w:p>
    <w:p w:rsidR="00301923" w:rsidRDefault="00DF5793">
      <w:pPr>
        <w:numPr>
          <w:ilvl w:val="0"/>
          <w:numId w:val="1"/>
        </w:numPr>
        <w:spacing w:after="179"/>
        <w:ind w:right="0" w:firstLine="708"/>
      </w:pPr>
      <w:r>
        <w:t xml:space="preserve">основную часть; </w:t>
      </w:r>
    </w:p>
    <w:p w:rsidR="00301923" w:rsidRDefault="00DF5793">
      <w:pPr>
        <w:numPr>
          <w:ilvl w:val="0"/>
          <w:numId w:val="1"/>
        </w:numPr>
        <w:spacing w:after="184"/>
        <w:ind w:right="0" w:firstLine="708"/>
      </w:pPr>
      <w:r>
        <w:t xml:space="preserve">заключение; </w:t>
      </w:r>
    </w:p>
    <w:p w:rsidR="00301923" w:rsidRDefault="00DF5793">
      <w:pPr>
        <w:numPr>
          <w:ilvl w:val="0"/>
          <w:numId w:val="1"/>
        </w:numPr>
        <w:spacing w:after="133"/>
        <w:ind w:right="0" w:firstLine="708"/>
      </w:pPr>
      <w:r>
        <w:t xml:space="preserve">список использованных источников. </w:t>
      </w:r>
    </w:p>
    <w:p w:rsidR="00301923" w:rsidRDefault="00DF5793">
      <w:pPr>
        <w:spacing w:after="187"/>
        <w:ind w:left="708" w:right="0" w:firstLine="0"/>
        <w:jc w:val="left"/>
      </w:pPr>
      <w:r>
        <w:t xml:space="preserve"> </w:t>
      </w:r>
    </w:p>
    <w:p w:rsidR="00301923" w:rsidRDefault="00DF5793">
      <w:pPr>
        <w:spacing w:after="171"/>
        <w:ind w:left="718" w:right="0"/>
      </w:pPr>
      <w:proofErr w:type="gramStart"/>
      <w:r>
        <w:rPr>
          <w:b/>
        </w:rPr>
        <w:t xml:space="preserve">Пример </w:t>
      </w:r>
      <w:r>
        <w:t xml:space="preserve"> оформления</w:t>
      </w:r>
      <w:proofErr w:type="gramEnd"/>
      <w:r>
        <w:t xml:space="preserve"> контрольной работы представлен в </w:t>
      </w:r>
      <w:r>
        <w:rPr>
          <w:b/>
        </w:rPr>
        <w:t xml:space="preserve">приложении </w:t>
      </w:r>
    </w:p>
    <w:p w:rsidR="00301923" w:rsidRDefault="00DF5793">
      <w:pPr>
        <w:spacing w:after="190"/>
        <w:ind w:right="0"/>
        <w:jc w:val="left"/>
      </w:pPr>
      <w:r>
        <w:rPr>
          <w:b/>
        </w:rPr>
        <w:t>А</w:t>
      </w:r>
      <w:r>
        <w:t xml:space="preserve">  </w:t>
      </w:r>
    </w:p>
    <w:p w:rsidR="00301923" w:rsidRDefault="00DF5793">
      <w:pPr>
        <w:spacing w:after="184"/>
        <w:ind w:left="718" w:right="0"/>
        <w:jc w:val="left"/>
      </w:pPr>
      <w:r>
        <w:rPr>
          <w:b/>
        </w:rPr>
        <w:t xml:space="preserve">Задания для выполнения контрольной работы: </w:t>
      </w:r>
    </w:p>
    <w:p w:rsidR="00301923" w:rsidRDefault="00DF5793">
      <w:pPr>
        <w:numPr>
          <w:ilvl w:val="0"/>
          <w:numId w:val="2"/>
        </w:numPr>
        <w:ind w:right="0" w:hanging="492"/>
      </w:pPr>
      <w:r>
        <w:t xml:space="preserve">Проблемы поддержки НИР: государственная и коммерческая.  </w:t>
      </w:r>
    </w:p>
    <w:p w:rsidR="00301923" w:rsidRDefault="00DF5793">
      <w:pPr>
        <w:numPr>
          <w:ilvl w:val="0"/>
          <w:numId w:val="2"/>
        </w:numPr>
        <w:ind w:right="0" w:hanging="492"/>
      </w:pPr>
      <w:r>
        <w:t xml:space="preserve">Современное информационное обеспечение прикладной НИР.  </w:t>
      </w:r>
    </w:p>
    <w:p w:rsidR="00301923" w:rsidRDefault="00DF5793">
      <w:pPr>
        <w:numPr>
          <w:ilvl w:val="0"/>
          <w:numId w:val="2"/>
        </w:numPr>
        <w:spacing w:after="3" w:line="459" w:lineRule="auto"/>
        <w:ind w:right="0" w:hanging="492"/>
      </w:pPr>
      <w:proofErr w:type="gramStart"/>
      <w:r>
        <w:t>Прогнозирование  экономической</w:t>
      </w:r>
      <w:proofErr w:type="gramEnd"/>
      <w:r>
        <w:t xml:space="preserve">  эффективности  коммерциализации  результатов НИОКР.  </w:t>
      </w:r>
    </w:p>
    <w:p w:rsidR="00301923" w:rsidRDefault="00DF5793">
      <w:pPr>
        <w:numPr>
          <w:ilvl w:val="0"/>
          <w:numId w:val="2"/>
        </w:numPr>
        <w:ind w:right="0" w:hanging="492"/>
      </w:pPr>
      <w:r>
        <w:t xml:space="preserve">Международная кооперация в научных исследованиях.  </w:t>
      </w:r>
    </w:p>
    <w:p w:rsidR="00301923" w:rsidRDefault="00DF5793">
      <w:pPr>
        <w:numPr>
          <w:ilvl w:val="0"/>
          <w:numId w:val="2"/>
        </w:numPr>
        <w:ind w:right="0" w:hanging="492"/>
      </w:pPr>
      <w:r>
        <w:lastRenderedPageBreak/>
        <w:t xml:space="preserve">Инновационный менеджмент в России.  </w:t>
      </w:r>
    </w:p>
    <w:p w:rsidR="00301923" w:rsidRDefault="00DF5793">
      <w:pPr>
        <w:numPr>
          <w:ilvl w:val="0"/>
          <w:numId w:val="2"/>
        </w:numPr>
        <w:ind w:right="0" w:hanging="492"/>
      </w:pPr>
      <w:proofErr w:type="gramStart"/>
      <w:r>
        <w:t>Современное  состояние</w:t>
      </w:r>
      <w:proofErr w:type="gramEnd"/>
      <w:r>
        <w:t xml:space="preserve">  </w:t>
      </w:r>
      <w:r>
        <w:t xml:space="preserve">и  перспективы  развития научного  потенциала  России.  </w:t>
      </w:r>
    </w:p>
    <w:p w:rsidR="00301923" w:rsidRDefault="00DF5793">
      <w:pPr>
        <w:numPr>
          <w:ilvl w:val="0"/>
          <w:numId w:val="2"/>
        </w:numPr>
        <w:ind w:right="0" w:hanging="492"/>
      </w:pPr>
      <w:r>
        <w:t xml:space="preserve">Обеспечения безопасности интеллектуальной собственности.  </w:t>
      </w:r>
    </w:p>
    <w:p w:rsidR="00301923" w:rsidRDefault="00DF5793">
      <w:pPr>
        <w:numPr>
          <w:ilvl w:val="0"/>
          <w:numId w:val="2"/>
        </w:numPr>
        <w:ind w:right="0" w:hanging="492"/>
      </w:pPr>
      <w:r>
        <w:t xml:space="preserve">Стандартизация и метрология ОКР.  </w:t>
      </w:r>
    </w:p>
    <w:p w:rsidR="00301923" w:rsidRDefault="00DF5793">
      <w:pPr>
        <w:numPr>
          <w:ilvl w:val="0"/>
          <w:numId w:val="2"/>
        </w:numPr>
        <w:ind w:right="0" w:hanging="492"/>
      </w:pPr>
      <w:r>
        <w:t xml:space="preserve">Форсайт как метод научного прогноза.  </w:t>
      </w:r>
    </w:p>
    <w:p w:rsidR="00301923" w:rsidRDefault="00DF5793">
      <w:pPr>
        <w:numPr>
          <w:ilvl w:val="0"/>
          <w:numId w:val="2"/>
        </w:numPr>
        <w:ind w:right="0" w:hanging="492"/>
      </w:pPr>
      <w:r>
        <w:t xml:space="preserve">Применения принципов системной инженерии для НИОКР.  </w:t>
      </w:r>
    </w:p>
    <w:p w:rsidR="00301923" w:rsidRDefault="00DF5793">
      <w:pPr>
        <w:numPr>
          <w:ilvl w:val="0"/>
          <w:numId w:val="2"/>
        </w:numPr>
        <w:ind w:right="0" w:hanging="492"/>
      </w:pPr>
      <w:r>
        <w:t>Жизненный ци</w:t>
      </w:r>
      <w:r>
        <w:t xml:space="preserve">кл НИР изделия при применении информационных средств   </w:t>
      </w:r>
    </w:p>
    <w:p w:rsidR="00301923" w:rsidRDefault="00DF5793">
      <w:pPr>
        <w:ind w:left="-5" w:right="0"/>
      </w:pPr>
      <w:r>
        <w:t xml:space="preserve">12.Информационное обеспечение НИОКР. </w:t>
      </w:r>
    </w:p>
    <w:p w:rsidR="00301923" w:rsidRDefault="00DF5793">
      <w:pPr>
        <w:ind w:left="-5" w:right="0"/>
      </w:pPr>
      <w:r>
        <w:t xml:space="preserve">13 Оценка эффективности НИОКР.   </w:t>
      </w:r>
    </w:p>
    <w:p w:rsidR="00301923" w:rsidRDefault="00DF5793">
      <w:pPr>
        <w:ind w:left="-5" w:right="0"/>
      </w:pPr>
      <w:r>
        <w:t xml:space="preserve">14. Основные этапы жизненного цикла изделия.  </w:t>
      </w:r>
    </w:p>
    <w:p w:rsidR="00301923" w:rsidRDefault="00DF5793">
      <w:pPr>
        <w:spacing w:after="220"/>
        <w:ind w:left="-5" w:right="0"/>
      </w:pPr>
      <w:r>
        <w:t xml:space="preserve">15.Влияние НИОКР на стратегию развития фирмы. </w:t>
      </w:r>
    </w:p>
    <w:p w:rsidR="00301923" w:rsidRDefault="00DF5793">
      <w:pPr>
        <w:spacing w:after="0"/>
        <w:ind w:left="0" w:right="0" w:firstLine="0"/>
        <w:jc w:val="left"/>
      </w:pPr>
      <w:r>
        <w:t xml:space="preserve"> </w:t>
      </w:r>
    </w:p>
    <w:sectPr w:rsidR="00301923">
      <w:pgSz w:w="11906" w:h="16838"/>
      <w:pgMar w:top="1133" w:right="845" w:bottom="134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9356A"/>
    <w:multiLevelType w:val="hybridMultilevel"/>
    <w:tmpl w:val="BAC2177A"/>
    <w:lvl w:ilvl="0" w:tplc="F752BBE6">
      <w:start w:val="1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6E99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F610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90FD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7014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14DC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78B7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7CC0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C8AD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E51F11"/>
    <w:multiLevelType w:val="hybridMultilevel"/>
    <w:tmpl w:val="10B43CD6"/>
    <w:lvl w:ilvl="0" w:tplc="38D22DF6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E6D27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02B22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E4A28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888DE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3C470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98D24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326BE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B493E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923"/>
    <w:rsid w:val="00301923"/>
    <w:rsid w:val="00DF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E6DB10"/>
  <w15:docId w15:val="{87A599E1-170C-46D2-BE38-771F65FC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72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0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Пользователь Windows</cp:lastModifiedBy>
  <cp:revision>2</cp:revision>
  <dcterms:created xsi:type="dcterms:W3CDTF">2024-09-02T08:36:00Z</dcterms:created>
  <dcterms:modified xsi:type="dcterms:W3CDTF">2024-09-02T08:36:00Z</dcterms:modified>
</cp:coreProperties>
</file>